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5A8" w:rsidRDefault="007D3EF5">
      <w:r>
        <w:t>Légende : STEELCASE  fauteuil i2i</w:t>
      </w:r>
    </w:p>
    <w:p w:rsidR="007D3EF5" w:rsidRDefault="007D3EF5">
      <w:r>
        <w:t xml:space="preserve">Copyright : </w:t>
      </w:r>
      <w:r w:rsidR="000C5528">
        <w:t>© STEELCASE</w:t>
      </w:r>
    </w:p>
    <w:sectPr w:rsidR="007D3EF5" w:rsidSect="007B25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D3EF5"/>
    <w:rsid w:val="000C5528"/>
    <w:rsid w:val="00135243"/>
    <w:rsid w:val="00271C17"/>
    <w:rsid w:val="007B25A8"/>
    <w:rsid w:val="007D3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25A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Organisation</Company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gsubileau</dc:creator>
  <cp:keywords/>
  <dc:description/>
  <cp:lastModifiedBy>gsubileau</cp:lastModifiedBy>
  <cp:revision>2</cp:revision>
  <dcterms:created xsi:type="dcterms:W3CDTF">2010-06-17T09:07:00Z</dcterms:created>
  <dcterms:modified xsi:type="dcterms:W3CDTF">2010-06-18T13:09:00Z</dcterms:modified>
</cp:coreProperties>
</file>